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24CF6" w14:textId="77777777" w:rsidR="00235646" w:rsidRPr="006C1AA2" w:rsidRDefault="00235646" w:rsidP="00235646">
      <w:pPr>
        <w:jc w:val="center"/>
        <w:rPr>
          <w:sz w:val="24"/>
          <w:szCs w:val="24"/>
        </w:rPr>
      </w:pPr>
      <w:r w:rsidRPr="006C1AA2">
        <w:rPr>
          <w:sz w:val="24"/>
          <w:szCs w:val="24"/>
        </w:rPr>
        <w:t>Nota de prensa</w:t>
      </w:r>
    </w:p>
    <w:p w14:paraId="716F5FF1" w14:textId="40B97CA7" w:rsidR="00235646" w:rsidRPr="00024E68" w:rsidRDefault="00024E68" w:rsidP="00235646">
      <w:pPr>
        <w:jc w:val="center"/>
        <w:rPr>
          <w:b/>
          <w:bCs/>
          <w:sz w:val="26"/>
          <w:szCs w:val="26"/>
        </w:rPr>
      </w:pPr>
      <w:r w:rsidRPr="00024E68">
        <w:rPr>
          <w:b/>
          <w:bCs/>
          <w:sz w:val="26"/>
          <w:szCs w:val="26"/>
        </w:rPr>
        <w:t xml:space="preserve">CASOS SOBRE ANTICONCEPTIVO ORAL DE EMERGENCIA Y PEAJE PUENTE PIEDRA FUERON TRATADOS EN AGENDA CONSTITUCIONAL DEL TC EN TUMBES </w:t>
      </w:r>
    </w:p>
    <w:p w14:paraId="13EC928F" w14:textId="5DA27557" w:rsidR="00024E68" w:rsidRDefault="00024E68" w:rsidP="00024E68">
      <w:pPr>
        <w:shd w:val="clear" w:color="auto" w:fill="FFFFFF"/>
        <w:jc w:val="both"/>
        <w:rPr>
          <w:rFonts w:eastAsia="Times New Roman" w:cstheme="minorHAnsi"/>
          <w:color w:val="222222"/>
          <w:sz w:val="24"/>
          <w:szCs w:val="24"/>
          <w:lang w:eastAsia="es-PE"/>
        </w:rPr>
      </w:pPr>
      <w:r>
        <w:rPr>
          <w:rFonts w:eastAsia="Times New Roman" w:cstheme="minorHAnsi"/>
          <w:color w:val="222222"/>
          <w:sz w:val="24"/>
          <w:szCs w:val="24"/>
          <w:lang w:eastAsia="es-PE"/>
        </w:rPr>
        <w:t>E</w:t>
      </w:r>
      <w:r w:rsidRPr="00E306A7">
        <w:rPr>
          <w:sz w:val="24"/>
          <w:szCs w:val="24"/>
        </w:rPr>
        <w:t>l</w:t>
      </w:r>
      <w:r>
        <w:rPr>
          <w:sz w:val="24"/>
          <w:szCs w:val="24"/>
        </w:rPr>
        <w:t xml:space="preserve"> </w:t>
      </w:r>
      <w:r>
        <w:rPr>
          <w:rFonts w:eastAsia="Times New Roman" w:cstheme="minorHAnsi"/>
          <w:color w:val="222222"/>
          <w:sz w:val="24"/>
          <w:szCs w:val="24"/>
          <w:lang w:eastAsia="es-PE"/>
        </w:rPr>
        <w:t xml:space="preserve">asesor jurisdiccional del Tribunal Constitucional (TC), </w:t>
      </w:r>
      <w:proofErr w:type="spellStart"/>
      <w:r>
        <w:rPr>
          <w:rFonts w:eastAsia="Times New Roman" w:cstheme="minorHAnsi"/>
          <w:color w:val="222222"/>
          <w:sz w:val="24"/>
          <w:szCs w:val="24"/>
          <w:lang w:eastAsia="es-PE"/>
        </w:rPr>
        <w:t>Hernesto</w:t>
      </w:r>
      <w:proofErr w:type="spellEnd"/>
      <w:r>
        <w:rPr>
          <w:rFonts w:eastAsia="Times New Roman" w:cstheme="minorHAnsi"/>
          <w:color w:val="222222"/>
          <w:sz w:val="24"/>
          <w:szCs w:val="24"/>
          <w:lang w:eastAsia="es-PE"/>
        </w:rPr>
        <w:t xml:space="preserve"> Vásquez Pérez, expuso en Tumbes en l</w:t>
      </w:r>
      <w:r>
        <w:rPr>
          <w:sz w:val="24"/>
          <w:szCs w:val="24"/>
        </w:rPr>
        <w:t xml:space="preserve">a </w:t>
      </w:r>
      <w:r w:rsidRPr="00DB7E5A">
        <w:rPr>
          <w:i/>
          <w:iCs/>
          <w:sz w:val="24"/>
          <w:szCs w:val="24"/>
        </w:rPr>
        <w:t xml:space="preserve">Agenda Constitucional – Conversatorio sobre </w:t>
      </w:r>
      <w:r w:rsidRPr="00DB7E5A">
        <w:rPr>
          <w:rFonts w:eastAsia="Times New Roman" w:cstheme="minorHAnsi"/>
          <w:i/>
          <w:iCs/>
          <w:color w:val="222222"/>
          <w:sz w:val="24"/>
          <w:szCs w:val="24"/>
          <w:lang w:eastAsia="es-PE"/>
        </w:rPr>
        <w:t>“Caso cobro del peaje en Puente Piedra (</w:t>
      </w:r>
      <w:proofErr w:type="spellStart"/>
      <w:r w:rsidRPr="00DB7E5A">
        <w:rPr>
          <w:rFonts w:eastAsia="Times New Roman" w:cstheme="minorHAnsi"/>
          <w:i/>
          <w:iCs/>
          <w:color w:val="222222"/>
          <w:sz w:val="24"/>
          <w:szCs w:val="24"/>
          <w:lang w:eastAsia="es-PE"/>
        </w:rPr>
        <w:t>Exp</w:t>
      </w:r>
      <w:proofErr w:type="spellEnd"/>
      <w:r w:rsidRPr="00DB7E5A">
        <w:rPr>
          <w:rFonts w:eastAsia="Times New Roman" w:cstheme="minorHAnsi"/>
          <w:i/>
          <w:iCs/>
          <w:color w:val="222222"/>
          <w:sz w:val="24"/>
          <w:szCs w:val="24"/>
          <w:lang w:eastAsia="es-PE"/>
        </w:rPr>
        <w:t xml:space="preserve">. </w:t>
      </w:r>
      <w:proofErr w:type="spellStart"/>
      <w:r w:rsidRPr="00DB7E5A">
        <w:rPr>
          <w:rFonts w:eastAsia="Times New Roman" w:cstheme="minorHAnsi"/>
          <w:i/>
          <w:iCs/>
          <w:color w:val="222222"/>
          <w:sz w:val="24"/>
          <w:szCs w:val="24"/>
          <w:lang w:eastAsia="es-PE"/>
        </w:rPr>
        <w:t>N</w:t>
      </w:r>
      <w:r>
        <w:rPr>
          <w:rFonts w:eastAsia="Times New Roman" w:cstheme="minorHAnsi"/>
          <w:i/>
          <w:iCs/>
          <w:color w:val="222222"/>
          <w:sz w:val="24"/>
          <w:szCs w:val="24"/>
          <w:lang w:eastAsia="es-PE"/>
        </w:rPr>
        <w:t>.</w:t>
      </w:r>
      <w:r w:rsidRPr="00DB7E5A">
        <w:rPr>
          <w:rFonts w:eastAsia="Times New Roman" w:cstheme="minorHAnsi"/>
          <w:i/>
          <w:iCs/>
          <w:color w:val="222222"/>
          <w:sz w:val="24"/>
          <w:szCs w:val="24"/>
          <w:lang w:eastAsia="es-PE"/>
        </w:rPr>
        <w:t>°</w:t>
      </w:r>
      <w:proofErr w:type="spellEnd"/>
      <w:r w:rsidRPr="00DB7E5A">
        <w:rPr>
          <w:rFonts w:eastAsia="Times New Roman" w:cstheme="minorHAnsi"/>
          <w:i/>
          <w:iCs/>
          <w:color w:val="222222"/>
          <w:sz w:val="24"/>
          <w:szCs w:val="24"/>
          <w:lang w:eastAsia="es-PE"/>
        </w:rPr>
        <w:t xml:space="preserve"> </w:t>
      </w:r>
      <w:hyperlink r:id="rId4" w:history="1">
        <w:r w:rsidRPr="00A65F8F">
          <w:rPr>
            <w:rStyle w:val="Hipervnculo"/>
            <w:rFonts w:eastAsia="Times New Roman" w:cstheme="minorHAnsi"/>
            <w:i/>
            <w:iCs/>
            <w:sz w:val="24"/>
            <w:szCs w:val="24"/>
            <w:lang w:eastAsia="es-PE"/>
          </w:rPr>
          <w:t>01072-2023-PHC/TC</w:t>
        </w:r>
      </w:hyperlink>
      <w:r w:rsidRPr="00DB7E5A">
        <w:rPr>
          <w:rFonts w:eastAsia="Times New Roman" w:cstheme="minorHAnsi"/>
          <w:i/>
          <w:iCs/>
          <w:color w:val="222222"/>
          <w:sz w:val="24"/>
          <w:szCs w:val="24"/>
          <w:lang w:eastAsia="es-PE"/>
        </w:rPr>
        <w:t xml:space="preserve">) - Caso anticonceptivo oral de emergencia (EXP. </w:t>
      </w:r>
      <w:proofErr w:type="spellStart"/>
      <w:r w:rsidRPr="00DB7E5A">
        <w:rPr>
          <w:rFonts w:eastAsia="Times New Roman" w:cstheme="minorHAnsi"/>
          <w:i/>
          <w:iCs/>
          <w:color w:val="222222"/>
          <w:sz w:val="24"/>
          <w:szCs w:val="24"/>
          <w:lang w:eastAsia="es-PE"/>
        </w:rPr>
        <w:t>N.°</w:t>
      </w:r>
      <w:proofErr w:type="spellEnd"/>
      <w:r w:rsidRPr="00DB7E5A">
        <w:rPr>
          <w:rFonts w:eastAsia="Times New Roman" w:cstheme="minorHAnsi"/>
          <w:i/>
          <w:iCs/>
          <w:color w:val="222222"/>
          <w:sz w:val="24"/>
          <w:szCs w:val="24"/>
          <w:lang w:eastAsia="es-PE"/>
        </w:rPr>
        <w:t xml:space="preserve"> </w:t>
      </w:r>
      <w:hyperlink r:id="rId5" w:history="1">
        <w:r w:rsidRPr="00A65F8F">
          <w:rPr>
            <w:rStyle w:val="Hipervnculo"/>
            <w:rFonts w:eastAsia="Times New Roman" w:cstheme="minorHAnsi"/>
            <w:i/>
            <w:iCs/>
            <w:sz w:val="24"/>
            <w:szCs w:val="24"/>
            <w:lang w:eastAsia="es-PE"/>
          </w:rPr>
          <w:t>00238-2021-PA/TC)</w:t>
        </w:r>
      </w:hyperlink>
      <w:r w:rsidRPr="00DB7E5A">
        <w:rPr>
          <w:rFonts w:eastAsia="Times New Roman" w:cstheme="minorHAnsi"/>
          <w:i/>
          <w:iCs/>
          <w:color w:val="222222"/>
          <w:sz w:val="24"/>
          <w:szCs w:val="24"/>
          <w:lang w:eastAsia="es-PE"/>
        </w:rPr>
        <w:t>"</w:t>
      </w:r>
      <w:r>
        <w:rPr>
          <w:rFonts w:eastAsia="Times New Roman" w:cstheme="minorHAnsi"/>
          <w:i/>
          <w:iCs/>
          <w:color w:val="222222"/>
          <w:sz w:val="24"/>
          <w:szCs w:val="24"/>
          <w:lang w:eastAsia="es-PE"/>
        </w:rPr>
        <w:t xml:space="preserve">, </w:t>
      </w:r>
      <w:r w:rsidRPr="00024E68">
        <w:rPr>
          <w:rFonts w:eastAsia="Times New Roman" w:cstheme="minorHAnsi"/>
          <w:color w:val="222222"/>
          <w:sz w:val="24"/>
          <w:szCs w:val="24"/>
          <w:lang w:eastAsia="es-PE"/>
        </w:rPr>
        <w:t>evento académic</w:t>
      </w:r>
      <w:r>
        <w:rPr>
          <w:rFonts w:eastAsia="Times New Roman" w:cstheme="minorHAnsi"/>
          <w:color w:val="222222"/>
          <w:sz w:val="24"/>
          <w:szCs w:val="24"/>
          <w:lang w:eastAsia="es-PE"/>
        </w:rPr>
        <w:t>o organizado por el TC, a través del Centro de Estudios Constitucionales (CEC).</w:t>
      </w:r>
    </w:p>
    <w:p w14:paraId="65718E3A" w14:textId="597CB63F" w:rsidR="006545B3" w:rsidRPr="00262984" w:rsidRDefault="00B42784" w:rsidP="00B42784">
      <w:pPr>
        <w:shd w:val="clear" w:color="auto" w:fill="FFFFFF"/>
        <w:jc w:val="both"/>
        <w:rPr>
          <w:sz w:val="24"/>
          <w:szCs w:val="24"/>
        </w:rPr>
      </w:pPr>
      <w:r>
        <w:rPr>
          <w:rFonts w:eastAsia="Times New Roman" w:cstheme="minorHAnsi"/>
          <w:color w:val="222222"/>
          <w:sz w:val="24"/>
          <w:szCs w:val="24"/>
          <w:lang w:eastAsia="es-PE"/>
        </w:rPr>
        <w:t xml:space="preserve">La actividad académica se desarrolló en colaboración con </w:t>
      </w:r>
      <w:r w:rsidR="00235646">
        <w:rPr>
          <w:sz w:val="24"/>
          <w:szCs w:val="24"/>
        </w:rPr>
        <w:t>la Corte Superior de Justicia de Tumbes</w:t>
      </w:r>
      <w:r w:rsidR="006545B3">
        <w:rPr>
          <w:sz w:val="24"/>
          <w:szCs w:val="24"/>
        </w:rPr>
        <w:t xml:space="preserve"> (CSJT)</w:t>
      </w:r>
      <w:r w:rsidR="00235646">
        <w:rPr>
          <w:sz w:val="24"/>
          <w:szCs w:val="24"/>
        </w:rPr>
        <w:t xml:space="preserve">, </w:t>
      </w:r>
      <w:r w:rsidR="006545B3">
        <w:rPr>
          <w:sz w:val="24"/>
          <w:szCs w:val="24"/>
        </w:rPr>
        <w:t xml:space="preserve">siendo inaugurado por </w:t>
      </w:r>
      <w:r w:rsidR="001D0EE9">
        <w:rPr>
          <w:sz w:val="24"/>
          <w:szCs w:val="24"/>
        </w:rPr>
        <w:t>la j</w:t>
      </w:r>
      <w:r w:rsidR="001D0EE9" w:rsidRPr="001D0EE9">
        <w:rPr>
          <w:sz w:val="24"/>
          <w:szCs w:val="24"/>
        </w:rPr>
        <w:t>ueza del 1</w:t>
      </w:r>
      <w:r w:rsidR="001D0EE9">
        <w:rPr>
          <w:sz w:val="24"/>
          <w:szCs w:val="24"/>
        </w:rPr>
        <w:t>.° J</w:t>
      </w:r>
      <w:r w:rsidR="001D0EE9" w:rsidRPr="001D0EE9">
        <w:rPr>
          <w:sz w:val="24"/>
          <w:szCs w:val="24"/>
        </w:rPr>
        <w:t>uzgado de Familia de Tumbes - Sub especializado en violencia contra la mujer</w:t>
      </w:r>
      <w:r w:rsidR="001D0EE9">
        <w:rPr>
          <w:sz w:val="24"/>
          <w:szCs w:val="24"/>
        </w:rPr>
        <w:t xml:space="preserve">, </w:t>
      </w:r>
      <w:r w:rsidR="001D0EE9" w:rsidRPr="001D0EE9">
        <w:rPr>
          <w:sz w:val="24"/>
          <w:szCs w:val="24"/>
        </w:rPr>
        <w:t xml:space="preserve">Dra. </w:t>
      </w:r>
      <w:proofErr w:type="spellStart"/>
      <w:r w:rsidR="001D0EE9" w:rsidRPr="001D0EE9">
        <w:rPr>
          <w:sz w:val="24"/>
          <w:szCs w:val="24"/>
        </w:rPr>
        <w:t>Yeni</w:t>
      </w:r>
      <w:proofErr w:type="spellEnd"/>
      <w:r w:rsidR="001D0EE9" w:rsidRPr="001D0EE9">
        <w:rPr>
          <w:sz w:val="24"/>
          <w:szCs w:val="24"/>
        </w:rPr>
        <w:t xml:space="preserve"> Marilia Ruiz Flores</w:t>
      </w:r>
      <w:r w:rsidR="006545B3">
        <w:rPr>
          <w:sz w:val="24"/>
          <w:szCs w:val="24"/>
        </w:rPr>
        <w:t xml:space="preserve">, en representación de la presidenta de la  CSJT, </w:t>
      </w:r>
      <w:r w:rsidR="001D0EE9" w:rsidRPr="001D0EE9">
        <w:rPr>
          <w:rFonts w:cstheme="minorHAnsi"/>
          <w:color w:val="040C28"/>
          <w:sz w:val="24"/>
          <w:szCs w:val="24"/>
        </w:rPr>
        <w:t>Dra.</w:t>
      </w:r>
      <w:r w:rsidR="001D0EE9" w:rsidRPr="001D0EE9">
        <w:rPr>
          <w:rFonts w:cstheme="minorHAnsi"/>
          <w:color w:val="1F1F1F"/>
          <w:sz w:val="24"/>
          <w:szCs w:val="24"/>
          <w:shd w:val="clear" w:color="auto" w:fill="FFFFFF"/>
        </w:rPr>
        <w:t> </w:t>
      </w:r>
      <w:r w:rsidR="001D0EE9" w:rsidRPr="001D0EE9">
        <w:rPr>
          <w:rFonts w:cstheme="minorHAnsi"/>
          <w:color w:val="040C28"/>
          <w:sz w:val="24"/>
          <w:szCs w:val="24"/>
        </w:rPr>
        <w:t>Gisela Guevara Agurto</w:t>
      </w:r>
      <w:r w:rsidR="006545B3">
        <w:rPr>
          <w:sz w:val="24"/>
          <w:szCs w:val="24"/>
        </w:rPr>
        <w:t>, indicando que es un hecho de singular relevancia por el desarrollo de la disciplina constitucional y del derecho de familia</w:t>
      </w:r>
      <w:r w:rsidR="001D0EE9">
        <w:rPr>
          <w:sz w:val="24"/>
          <w:szCs w:val="24"/>
        </w:rPr>
        <w:t xml:space="preserve"> entre </w:t>
      </w:r>
      <w:r w:rsidR="001D0EE9" w:rsidRPr="00262984">
        <w:rPr>
          <w:sz w:val="24"/>
          <w:szCs w:val="24"/>
        </w:rPr>
        <w:t>los magistrados y servidores de Tumbes.</w:t>
      </w:r>
    </w:p>
    <w:p w14:paraId="036C94D2" w14:textId="33D7A1DE" w:rsidR="0042795F" w:rsidRPr="0070156B" w:rsidRDefault="0089497B" w:rsidP="00262984">
      <w:pPr>
        <w:shd w:val="clear" w:color="auto" w:fill="FFFFFF"/>
        <w:jc w:val="both"/>
        <w:rPr>
          <w:rFonts w:cstheme="minorHAnsi"/>
          <w:sz w:val="24"/>
          <w:szCs w:val="24"/>
        </w:rPr>
      </w:pPr>
      <w:r w:rsidRPr="00262984">
        <w:rPr>
          <w:rFonts w:cstheme="minorHAnsi"/>
          <w:sz w:val="24"/>
          <w:szCs w:val="24"/>
        </w:rPr>
        <w:t xml:space="preserve">Sobre el caso del peaje de Puente Piedra, Vásquez Pérez sostuvo que </w:t>
      </w:r>
      <w:r w:rsidR="0042795F" w:rsidRPr="00262984">
        <w:rPr>
          <w:rFonts w:cstheme="minorHAnsi"/>
          <w:sz w:val="24"/>
          <w:szCs w:val="24"/>
        </w:rPr>
        <w:t>el TC declaró fundada en parte la demanda de </w:t>
      </w:r>
      <w:r w:rsidR="0042795F" w:rsidRPr="00262984">
        <w:rPr>
          <w:rFonts w:cstheme="minorHAnsi"/>
          <w:i/>
          <w:iCs/>
          <w:sz w:val="24"/>
          <w:szCs w:val="24"/>
        </w:rPr>
        <w:t>habeas corpus</w:t>
      </w:r>
      <w:r w:rsidR="0042795F" w:rsidRPr="00262984">
        <w:rPr>
          <w:rFonts w:cstheme="minorHAnsi"/>
          <w:sz w:val="24"/>
          <w:szCs w:val="24"/>
        </w:rPr>
        <w:t xml:space="preserve"> presentada contra Rutas de Lima SAC y ordenó a esta empresa suspender el cobro del peaje en Puente Piedra, por haberse vulnerado el derecho fundamental al libre tránsito de los residentes de Puente Piedra y de los usuarios que circulan por </w:t>
      </w:r>
      <w:r w:rsidR="00262984" w:rsidRPr="00262984">
        <w:rPr>
          <w:rFonts w:cstheme="minorHAnsi"/>
          <w:sz w:val="24"/>
          <w:szCs w:val="24"/>
        </w:rPr>
        <w:t>la</w:t>
      </w:r>
      <w:r w:rsidR="0042795F" w:rsidRPr="00262984">
        <w:rPr>
          <w:rFonts w:cstheme="minorHAnsi"/>
          <w:sz w:val="24"/>
          <w:szCs w:val="24"/>
        </w:rPr>
        <w:t xml:space="preserve"> vía concesionada.</w:t>
      </w:r>
      <w:r w:rsidR="00262984" w:rsidRPr="00262984">
        <w:rPr>
          <w:rFonts w:cstheme="minorHAnsi"/>
          <w:sz w:val="24"/>
          <w:szCs w:val="24"/>
        </w:rPr>
        <w:t xml:space="preserve"> </w:t>
      </w:r>
      <w:r w:rsidR="0042795F" w:rsidRPr="00262984">
        <w:rPr>
          <w:rFonts w:cstheme="minorHAnsi"/>
          <w:sz w:val="24"/>
          <w:szCs w:val="24"/>
        </w:rPr>
        <w:t xml:space="preserve">Además, dicha decisión se mantendrá hasta que se adopten las medidas para cesar el acto lesivo </w:t>
      </w:r>
      <w:proofErr w:type="spellStart"/>
      <w:r w:rsidR="0042795F" w:rsidRPr="00262984">
        <w:rPr>
          <w:rFonts w:cstheme="minorHAnsi"/>
          <w:sz w:val="24"/>
          <w:szCs w:val="24"/>
        </w:rPr>
        <w:t>vulneratorio</w:t>
      </w:r>
      <w:proofErr w:type="spellEnd"/>
      <w:r w:rsidR="0042795F" w:rsidRPr="00262984">
        <w:rPr>
          <w:rFonts w:cstheme="minorHAnsi"/>
          <w:sz w:val="24"/>
          <w:szCs w:val="24"/>
        </w:rPr>
        <w:t xml:space="preserve"> de la libertad de tránsito o hasta que la justicia penal emita los pronunciamientos judiciales correspondientes, con calidad de firmes, que determinen si el contrato de concesión y </w:t>
      </w:r>
      <w:r w:rsidR="0042795F" w:rsidRPr="0070156B">
        <w:rPr>
          <w:rFonts w:cstheme="minorHAnsi"/>
          <w:sz w:val="24"/>
          <w:szCs w:val="24"/>
        </w:rPr>
        <w:t>sus adendas tuvieron un origen ilícito o no.  </w:t>
      </w:r>
    </w:p>
    <w:p w14:paraId="05BE96C9" w14:textId="3976F8C2" w:rsidR="009F355D" w:rsidRDefault="0042795F" w:rsidP="00362499">
      <w:pPr>
        <w:shd w:val="clear" w:color="auto" w:fill="FFFFFF"/>
        <w:jc w:val="both"/>
        <w:rPr>
          <w:sz w:val="24"/>
          <w:szCs w:val="24"/>
        </w:rPr>
      </w:pPr>
      <w:r w:rsidRPr="0070156B">
        <w:rPr>
          <w:sz w:val="24"/>
          <w:szCs w:val="24"/>
        </w:rPr>
        <w:t xml:space="preserve">Con respecto, al anticonceptivo oral de emergencia </w:t>
      </w:r>
      <w:r w:rsidR="009F355D" w:rsidRPr="0070156B">
        <w:rPr>
          <w:sz w:val="24"/>
          <w:szCs w:val="24"/>
        </w:rPr>
        <w:t>(AOE) indicó que</w:t>
      </w:r>
      <w:r w:rsidR="00262984" w:rsidRPr="0070156B">
        <w:rPr>
          <w:sz w:val="24"/>
          <w:szCs w:val="24"/>
        </w:rPr>
        <w:t xml:space="preserve">, a diferencia de lo resuelto en la sentencia recaída en el Expediente 02005-2009-PA/TC, </w:t>
      </w:r>
      <w:r w:rsidR="00262984" w:rsidRPr="0070156B">
        <w:rPr>
          <w:sz w:val="24"/>
          <w:szCs w:val="24"/>
        </w:rPr>
        <w:t xml:space="preserve">a la fecha se cuenta con abundante </w:t>
      </w:r>
      <w:r w:rsidR="0070156B" w:rsidRPr="0070156B">
        <w:rPr>
          <w:sz w:val="24"/>
          <w:szCs w:val="24"/>
        </w:rPr>
        <w:t>información</w:t>
      </w:r>
      <w:r w:rsidR="00262984" w:rsidRPr="0070156B">
        <w:rPr>
          <w:sz w:val="24"/>
          <w:szCs w:val="24"/>
        </w:rPr>
        <w:t xml:space="preserve"> </w:t>
      </w:r>
      <w:r w:rsidR="0070156B" w:rsidRPr="0070156B">
        <w:rPr>
          <w:sz w:val="24"/>
          <w:szCs w:val="24"/>
        </w:rPr>
        <w:t xml:space="preserve">médica y </w:t>
      </w:r>
      <w:r w:rsidR="00262984" w:rsidRPr="0070156B">
        <w:rPr>
          <w:sz w:val="24"/>
          <w:szCs w:val="24"/>
        </w:rPr>
        <w:t xml:space="preserve">científica </w:t>
      </w:r>
      <w:r w:rsidR="0070156B" w:rsidRPr="0070156B">
        <w:rPr>
          <w:sz w:val="24"/>
          <w:szCs w:val="24"/>
        </w:rPr>
        <w:t xml:space="preserve">que llevan al TC a sostener que </w:t>
      </w:r>
      <w:r w:rsidR="00262984" w:rsidRPr="0070156B">
        <w:rPr>
          <w:sz w:val="24"/>
          <w:szCs w:val="24"/>
        </w:rPr>
        <w:t xml:space="preserve">la AOE solo tiene efecto si se ingiere antes de la ovulación y, posiblemente, antes de que el esperma alcance al óvulo maduro, mas no tiene efecto sobre el endometrio y mucho menos impide la implantación o anidación. </w:t>
      </w:r>
      <w:r w:rsidR="009F355D">
        <w:rPr>
          <w:sz w:val="24"/>
          <w:szCs w:val="24"/>
        </w:rPr>
        <w:t>Por ello, declaró fundada la demanda de Violeta Gómez Hinostroza contra el Ministerio de Salud (Minsa), por haberse vulnerado los derechos reproductivos, a recibir información y a la igualdad y no discriminación. Además, ordenó al Minsa que cumpla con otorgar a la demandante el AOE en cualquier centro de salud del Estado.</w:t>
      </w:r>
    </w:p>
    <w:p w14:paraId="1EBA65F0" w14:textId="0A593EB0" w:rsidR="00645842" w:rsidRDefault="00645842" w:rsidP="00362499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Esta Agenda Constitucional – Conversatorio contó con la moderación del director académico del CEC, Alex Ulloa Ibáñez.</w:t>
      </w:r>
    </w:p>
    <w:p w14:paraId="2F915571" w14:textId="77777777" w:rsidR="0070156B" w:rsidRDefault="0070156B" w:rsidP="00362499">
      <w:pPr>
        <w:shd w:val="clear" w:color="auto" w:fill="FFFFFF"/>
        <w:jc w:val="both"/>
        <w:rPr>
          <w:sz w:val="24"/>
          <w:szCs w:val="24"/>
        </w:rPr>
      </w:pPr>
    </w:p>
    <w:p w14:paraId="397B16E8" w14:textId="24320FB5" w:rsidR="00235646" w:rsidRDefault="00235646" w:rsidP="00362499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Lima, 1</w:t>
      </w:r>
      <w:r w:rsidR="00024E68">
        <w:rPr>
          <w:sz w:val="24"/>
          <w:szCs w:val="24"/>
        </w:rPr>
        <w:t>0</w:t>
      </w:r>
      <w:r>
        <w:rPr>
          <w:sz w:val="24"/>
          <w:szCs w:val="24"/>
        </w:rPr>
        <w:t xml:space="preserve"> de agosto de 2024</w:t>
      </w:r>
    </w:p>
    <w:p w14:paraId="422AA676" w14:textId="77777777" w:rsidR="00235646" w:rsidRDefault="00235646" w:rsidP="00362499">
      <w:pPr>
        <w:shd w:val="clear" w:color="auto" w:fill="FFFFFF"/>
        <w:jc w:val="both"/>
        <w:rPr>
          <w:sz w:val="24"/>
          <w:szCs w:val="24"/>
        </w:rPr>
      </w:pPr>
    </w:p>
    <w:p w14:paraId="534A4C4B" w14:textId="6E993800" w:rsidR="00235646" w:rsidRDefault="00235646" w:rsidP="0070156B">
      <w:pPr>
        <w:shd w:val="clear" w:color="auto" w:fill="FFFFFF"/>
        <w:jc w:val="both"/>
      </w:pPr>
      <w:r>
        <w:rPr>
          <w:sz w:val="24"/>
          <w:szCs w:val="24"/>
        </w:rPr>
        <w:t>Oficina de Imagen Institucional del Tribunal Constitucional</w:t>
      </w:r>
    </w:p>
    <w:sectPr w:rsidR="0023564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646"/>
    <w:rsid w:val="00024E68"/>
    <w:rsid w:val="001D0EE9"/>
    <w:rsid w:val="00235646"/>
    <w:rsid w:val="00262984"/>
    <w:rsid w:val="00362499"/>
    <w:rsid w:val="0042795F"/>
    <w:rsid w:val="00645842"/>
    <w:rsid w:val="006545B3"/>
    <w:rsid w:val="0070156B"/>
    <w:rsid w:val="0089497B"/>
    <w:rsid w:val="00986898"/>
    <w:rsid w:val="009F355D"/>
    <w:rsid w:val="00A06273"/>
    <w:rsid w:val="00B42784"/>
    <w:rsid w:val="00E54034"/>
    <w:rsid w:val="00FB1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8675346"/>
  <w15:chartTrackingRefBased/>
  <w15:docId w15:val="{FBC4E682-85CD-447A-966D-6996C1E81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564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35646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4279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449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tc.gob.pe/consultas-de-causas/detalles-consulta/?id_exp=473105" TargetMode="External"/><Relationship Id="rId4" Type="http://schemas.openxmlformats.org/officeDocument/2006/relationships/hyperlink" Target="https://tc.gob.pe/jurisprudencia/2024/01072-2023-HC.pdf?_gl=1*i9eock*_ga*MTE2MTQwOTU2LjE3MjI1MTg2MjY.*_ga_BK92586FH9*MTcyMjU0NzgwMi44LjEuMTcyMjU0ODAwMC42MC4wLjEyOTc4MTc1Njk.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466</Words>
  <Characters>2568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Efrén César Vidal Olórtegui</dc:creator>
  <cp:keywords/>
  <dc:description/>
  <cp:lastModifiedBy>LENOVO</cp:lastModifiedBy>
  <cp:revision>9</cp:revision>
  <dcterms:created xsi:type="dcterms:W3CDTF">2024-08-12T14:40:00Z</dcterms:created>
  <dcterms:modified xsi:type="dcterms:W3CDTF">2024-08-12T21:02:00Z</dcterms:modified>
</cp:coreProperties>
</file>